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96C" w:rsidRPr="0082196C" w:rsidRDefault="0082196C" w:rsidP="00F522C1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2196C">
        <w:rPr>
          <w:rFonts w:ascii="Times New Roman" w:hAnsi="Times New Roman" w:cs="Times New Roman"/>
          <w:b/>
          <w:sz w:val="28"/>
          <w:szCs w:val="28"/>
        </w:rPr>
        <w:t>Profetismo e transformação sociocultural: um estudo da semente da secularização no profetismo hebraico, de José Carlos de Lima Costa</w:t>
      </w:r>
    </w:p>
    <w:p w:rsidR="0082196C" w:rsidRDefault="0082196C" w:rsidP="00F522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07EA" w:rsidRPr="00F522C1" w:rsidRDefault="002938FA" w:rsidP="0082196C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F522C1">
        <w:rPr>
          <w:rFonts w:ascii="Times New Roman" w:hAnsi="Times New Roman" w:cs="Times New Roman"/>
          <w:sz w:val="24"/>
          <w:szCs w:val="24"/>
        </w:rPr>
        <w:t xml:space="preserve">Pode parecer estranho, à primeira vista, relacionar o processo de secularização do Ocidente com os profetas de Israel. Mas é isso que fazem vários autores quando discutem </w:t>
      </w:r>
      <w:r w:rsidR="009007EA" w:rsidRPr="00F522C1">
        <w:rPr>
          <w:rFonts w:ascii="Times New Roman" w:hAnsi="Times New Roman" w:cs="Times New Roman"/>
          <w:sz w:val="24"/>
          <w:szCs w:val="24"/>
        </w:rPr>
        <w:t>a origem histórica do conceito de secularização</w:t>
      </w:r>
      <w:r w:rsidR="007C5658" w:rsidRPr="00F522C1">
        <w:rPr>
          <w:rFonts w:ascii="Times New Roman" w:hAnsi="Times New Roman" w:cs="Times New Roman"/>
          <w:sz w:val="24"/>
          <w:szCs w:val="24"/>
        </w:rPr>
        <w:t xml:space="preserve">. </w:t>
      </w:r>
      <w:r w:rsidR="009007EA" w:rsidRPr="00F522C1">
        <w:rPr>
          <w:rFonts w:ascii="Times New Roman" w:hAnsi="Times New Roman" w:cs="Times New Roman"/>
          <w:sz w:val="24"/>
          <w:szCs w:val="24"/>
        </w:rPr>
        <w:t xml:space="preserve"> Na linha da filosofia alemã e da sociologia de Max Weber, Peter Berger (2003) considera o monoteísmo o </w:t>
      </w:r>
      <w:r w:rsidR="00694ACA" w:rsidRPr="00F522C1">
        <w:rPr>
          <w:rFonts w:ascii="Times New Roman" w:hAnsi="Times New Roman" w:cs="Times New Roman"/>
          <w:sz w:val="24"/>
          <w:szCs w:val="24"/>
        </w:rPr>
        <w:t>germe original que desencadeou o</w:t>
      </w:r>
      <w:r w:rsidR="009007EA" w:rsidRPr="00F522C1">
        <w:rPr>
          <w:rFonts w:ascii="Times New Roman" w:hAnsi="Times New Roman" w:cs="Times New Roman"/>
          <w:sz w:val="24"/>
          <w:szCs w:val="24"/>
        </w:rPr>
        <w:t xml:space="preserve"> processo de secularização. </w:t>
      </w:r>
      <w:r w:rsidR="001D0647">
        <w:rPr>
          <w:rFonts w:ascii="Times New Roman" w:hAnsi="Times New Roman" w:cs="Times New Roman"/>
          <w:sz w:val="24"/>
          <w:szCs w:val="24"/>
        </w:rPr>
        <w:t>O monoteísmo</w:t>
      </w:r>
      <w:r w:rsidR="009007EA" w:rsidRPr="00F522C1">
        <w:rPr>
          <w:rFonts w:ascii="Times New Roman" w:hAnsi="Times New Roman" w:cs="Times New Roman"/>
          <w:sz w:val="24"/>
          <w:szCs w:val="24"/>
        </w:rPr>
        <w:t xml:space="preserve"> implica uma </w:t>
      </w:r>
      <w:proofErr w:type="spellStart"/>
      <w:r w:rsidR="009007EA" w:rsidRPr="00F522C1">
        <w:rPr>
          <w:rFonts w:ascii="Times New Roman" w:hAnsi="Times New Roman" w:cs="Times New Roman"/>
          <w:sz w:val="24"/>
          <w:szCs w:val="24"/>
        </w:rPr>
        <w:t>transcendalização</w:t>
      </w:r>
      <w:proofErr w:type="spellEnd"/>
      <w:r w:rsidR="009007EA" w:rsidRPr="00F522C1">
        <w:rPr>
          <w:rFonts w:ascii="Times New Roman" w:hAnsi="Times New Roman" w:cs="Times New Roman"/>
          <w:sz w:val="24"/>
          <w:szCs w:val="24"/>
        </w:rPr>
        <w:t xml:space="preserve"> de Deus que é, então, colocado fora do cosmos e não é mais capaz de agir sobre o mundo senão por meio de ações pontuais. </w:t>
      </w:r>
      <w:r w:rsidR="00A37464" w:rsidRPr="00F522C1">
        <w:rPr>
          <w:rFonts w:ascii="Times New Roman" w:hAnsi="Times New Roman" w:cs="Times New Roman"/>
          <w:sz w:val="24"/>
          <w:szCs w:val="24"/>
        </w:rPr>
        <w:t>I</w:t>
      </w:r>
      <w:r w:rsidR="009007EA" w:rsidRPr="00F522C1">
        <w:rPr>
          <w:rFonts w:ascii="Times New Roman" w:hAnsi="Times New Roman" w:cs="Times New Roman"/>
          <w:sz w:val="24"/>
          <w:szCs w:val="24"/>
        </w:rPr>
        <w:t xml:space="preserve">sto fica evidente com o Deus </w:t>
      </w:r>
      <w:r w:rsidR="007C5658" w:rsidRPr="00F522C1">
        <w:rPr>
          <w:rFonts w:ascii="Times New Roman" w:hAnsi="Times New Roman" w:cs="Times New Roman"/>
          <w:sz w:val="24"/>
          <w:szCs w:val="24"/>
        </w:rPr>
        <w:t>d</w:t>
      </w:r>
      <w:r w:rsidR="009007EA" w:rsidRPr="00F522C1">
        <w:rPr>
          <w:rFonts w:ascii="Times New Roman" w:hAnsi="Times New Roman" w:cs="Times New Roman"/>
          <w:sz w:val="24"/>
          <w:szCs w:val="24"/>
        </w:rPr>
        <w:t>os hebreus, ao instaurar uma aliança com os homens e colocar sua relação com o divino sob a chancela de um contrato.</w:t>
      </w:r>
      <w:r w:rsidR="001D0647">
        <w:rPr>
          <w:rFonts w:ascii="Times New Roman" w:hAnsi="Times New Roman" w:cs="Times New Roman"/>
          <w:sz w:val="24"/>
          <w:szCs w:val="24"/>
        </w:rPr>
        <w:t xml:space="preserve"> Transcendental mas ao mesmo tempo presente na vida dos homens através de um compromisso de sua vida ética com a divindade.</w:t>
      </w:r>
    </w:p>
    <w:p w:rsidR="000F36C7" w:rsidRPr="00F522C1" w:rsidRDefault="007C5658" w:rsidP="0082196C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F522C1">
        <w:rPr>
          <w:rFonts w:ascii="Times New Roman" w:hAnsi="Times New Roman" w:cs="Times New Roman"/>
          <w:sz w:val="24"/>
          <w:szCs w:val="24"/>
        </w:rPr>
        <w:t xml:space="preserve">Na visão weberiana, por mais paradoxal que pareça, o processo de racionalização, subjacente à secularização, teve seu ponto de partida na própria religião. Esta surge, a partir de um carisma que reveste um indivíduo de qualidades extraordinárias, um carisma que se manifesta em êxtase. </w:t>
      </w:r>
      <w:r w:rsidR="000F36C7" w:rsidRPr="00F522C1">
        <w:rPr>
          <w:rFonts w:ascii="Times New Roman" w:hAnsi="Times New Roman" w:cs="Times New Roman"/>
          <w:sz w:val="24"/>
          <w:szCs w:val="24"/>
        </w:rPr>
        <w:t xml:space="preserve">Em seguida, atribuem-se poderes </w:t>
      </w:r>
      <w:r w:rsidRPr="00F522C1">
        <w:rPr>
          <w:rFonts w:ascii="Times New Roman" w:hAnsi="Times New Roman" w:cs="Times New Roman"/>
          <w:sz w:val="24"/>
          <w:szCs w:val="24"/>
        </w:rPr>
        <w:t>aos elementos naturais</w:t>
      </w:r>
      <w:r w:rsidR="000F36C7" w:rsidRPr="00F522C1">
        <w:rPr>
          <w:rFonts w:ascii="Times New Roman" w:hAnsi="Times New Roman" w:cs="Times New Roman"/>
          <w:sz w:val="24"/>
          <w:szCs w:val="24"/>
        </w:rPr>
        <w:t xml:space="preserve"> que, a princípio, </w:t>
      </w:r>
      <w:r w:rsidRPr="00F522C1">
        <w:rPr>
          <w:rFonts w:ascii="Times New Roman" w:hAnsi="Times New Roman" w:cs="Times New Roman"/>
          <w:sz w:val="24"/>
          <w:szCs w:val="24"/>
        </w:rPr>
        <w:t>assumem feições impessoais. Esse entendimento evolui para a concepção de deuses pessoais, os quais são particularmente investidos desses poderes. Nesse processo, o homem passa de concepções baseadas em operações religiosas concretas para concepções fundamentadas em operações religiosas simbólicas</w:t>
      </w:r>
      <w:r w:rsidR="000F36C7" w:rsidRPr="00F522C1">
        <w:rPr>
          <w:rFonts w:ascii="Times New Roman" w:hAnsi="Times New Roman" w:cs="Times New Roman"/>
          <w:sz w:val="24"/>
          <w:szCs w:val="24"/>
        </w:rPr>
        <w:t xml:space="preserve"> (</w:t>
      </w:r>
      <w:r w:rsidR="00AB70A7">
        <w:rPr>
          <w:rFonts w:ascii="Times New Roman" w:hAnsi="Times New Roman" w:cs="Times New Roman"/>
          <w:sz w:val="24"/>
          <w:szCs w:val="24"/>
        </w:rPr>
        <w:t xml:space="preserve">COSTA, 2015). </w:t>
      </w:r>
    </w:p>
    <w:p w:rsidR="0004582F" w:rsidRDefault="007C5658" w:rsidP="0082196C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F522C1">
        <w:rPr>
          <w:rFonts w:ascii="Times New Roman" w:hAnsi="Times New Roman" w:cs="Times New Roman"/>
          <w:sz w:val="24"/>
          <w:szCs w:val="24"/>
        </w:rPr>
        <w:t>Essa mudança corresponde à transição entre o naturismo animista</w:t>
      </w:r>
      <w:r w:rsidR="000F36C7" w:rsidRPr="00F522C1">
        <w:rPr>
          <w:rFonts w:ascii="Times New Roman" w:hAnsi="Times New Roman" w:cs="Times New Roman"/>
          <w:sz w:val="24"/>
          <w:szCs w:val="24"/>
        </w:rPr>
        <w:t xml:space="preserve">, da época dos xamãs, </w:t>
      </w:r>
      <w:r w:rsidRPr="00F522C1">
        <w:rPr>
          <w:rFonts w:ascii="Times New Roman" w:hAnsi="Times New Roman" w:cs="Times New Roman"/>
          <w:sz w:val="24"/>
          <w:szCs w:val="24"/>
        </w:rPr>
        <w:t xml:space="preserve">e o simbolismo das religiões racionalizadas. </w:t>
      </w:r>
      <w:r w:rsidR="000F36C7" w:rsidRPr="00F522C1">
        <w:rPr>
          <w:rFonts w:ascii="Times New Roman" w:hAnsi="Times New Roman" w:cs="Times New Roman"/>
          <w:sz w:val="24"/>
          <w:szCs w:val="24"/>
        </w:rPr>
        <w:t xml:space="preserve">A relação da divindade com os homens se torna cada vez mais racionalizada, </w:t>
      </w:r>
      <w:r w:rsidRPr="00F522C1">
        <w:rPr>
          <w:rFonts w:ascii="Times New Roman" w:hAnsi="Times New Roman" w:cs="Times New Roman"/>
          <w:sz w:val="24"/>
          <w:szCs w:val="24"/>
        </w:rPr>
        <w:t xml:space="preserve">dando origem à teologia. </w:t>
      </w:r>
      <w:r w:rsidR="0004582F">
        <w:rPr>
          <w:rFonts w:ascii="Times New Roman" w:hAnsi="Times New Roman" w:cs="Times New Roman"/>
          <w:sz w:val="24"/>
          <w:szCs w:val="24"/>
        </w:rPr>
        <w:t xml:space="preserve">Entre os séculos VIII e V a. C., proíbe-se formalmente em Jerusalém “consultar os oráculos, praticar a invocação, a adivinhação, as feitiçarias e os encantos, interrogar os </w:t>
      </w:r>
      <w:proofErr w:type="spellStart"/>
      <w:r w:rsidR="0004582F">
        <w:rPr>
          <w:rFonts w:ascii="Times New Roman" w:hAnsi="Times New Roman" w:cs="Times New Roman"/>
          <w:sz w:val="24"/>
          <w:szCs w:val="24"/>
        </w:rPr>
        <w:t>aspectros</w:t>
      </w:r>
      <w:proofErr w:type="spellEnd"/>
      <w:r w:rsidR="0004582F">
        <w:rPr>
          <w:rFonts w:ascii="Times New Roman" w:hAnsi="Times New Roman" w:cs="Times New Roman"/>
          <w:sz w:val="24"/>
          <w:szCs w:val="24"/>
        </w:rPr>
        <w:t xml:space="preserve"> ou consultar os mortos” (Deuteronômio, 18, 10-11). O rei Josias rompe a tradição e expulsa “os necromantes, os adivinhos, os </w:t>
      </w:r>
      <w:proofErr w:type="spellStart"/>
      <w:r w:rsidR="0004582F">
        <w:rPr>
          <w:rFonts w:ascii="Times New Roman" w:hAnsi="Times New Roman" w:cs="Times New Roman"/>
          <w:sz w:val="24"/>
          <w:szCs w:val="24"/>
        </w:rPr>
        <w:t>terafim</w:t>
      </w:r>
      <w:proofErr w:type="spellEnd"/>
      <w:r w:rsidR="0004582F">
        <w:rPr>
          <w:rFonts w:ascii="Times New Roman" w:hAnsi="Times New Roman" w:cs="Times New Roman"/>
          <w:sz w:val="24"/>
          <w:szCs w:val="24"/>
        </w:rPr>
        <w:t>, os ídolos e todo o lixo que se via na terra de Judá e em Jerusalém, a fim de cumprir as palavras da Lei” (2 Reis, 23,24).</w:t>
      </w:r>
    </w:p>
    <w:p w:rsidR="007C5658" w:rsidRPr="00F522C1" w:rsidRDefault="007C5658" w:rsidP="0082196C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F522C1">
        <w:rPr>
          <w:rFonts w:ascii="Times New Roman" w:hAnsi="Times New Roman" w:cs="Times New Roman"/>
          <w:sz w:val="24"/>
          <w:szCs w:val="24"/>
        </w:rPr>
        <w:t xml:space="preserve">O processo final da racionalização da religião é </w:t>
      </w:r>
      <w:r w:rsidR="0004582F">
        <w:rPr>
          <w:rFonts w:ascii="Times New Roman" w:hAnsi="Times New Roman" w:cs="Times New Roman"/>
          <w:sz w:val="24"/>
          <w:szCs w:val="24"/>
        </w:rPr>
        <w:t xml:space="preserve">a </w:t>
      </w:r>
      <w:r w:rsidRPr="00F522C1">
        <w:rPr>
          <w:rFonts w:ascii="Times New Roman" w:hAnsi="Times New Roman" w:cs="Times New Roman"/>
          <w:sz w:val="24"/>
          <w:szCs w:val="24"/>
        </w:rPr>
        <w:t xml:space="preserve">sua </w:t>
      </w:r>
      <w:proofErr w:type="spellStart"/>
      <w:r w:rsidRPr="00F522C1">
        <w:rPr>
          <w:rFonts w:ascii="Times New Roman" w:hAnsi="Times New Roman" w:cs="Times New Roman"/>
          <w:sz w:val="24"/>
          <w:szCs w:val="24"/>
        </w:rPr>
        <w:t>eticização</w:t>
      </w:r>
      <w:proofErr w:type="spellEnd"/>
      <w:r w:rsidRPr="00F522C1">
        <w:rPr>
          <w:rFonts w:ascii="Times New Roman" w:hAnsi="Times New Roman" w:cs="Times New Roman"/>
          <w:sz w:val="24"/>
          <w:szCs w:val="24"/>
        </w:rPr>
        <w:t>, ou seja, a crescente importância da vinculação ética do indivíduo a um cosmos de deveres</w:t>
      </w:r>
      <w:r w:rsidR="00707328" w:rsidRPr="00F522C1">
        <w:rPr>
          <w:rFonts w:ascii="Times New Roman" w:hAnsi="Times New Roman" w:cs="Times New Roman"/>
          <w:sz w:val="24"/>
          <w:szCs w:val="24"/>
        </w:rPr>
        <w:t>.</w:t>
      </w:r>
      <w:r w:rsidRPr="00F522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522C1">
        <w:rPr>
          <w:rFonts w:ascii="Times New Roman" w:hAnsi="Times New Roman" w:cs="Times New Roman"/>
          <w:sz w:val="24"/>
          <w:szCs w:val="24"/>
        </w:rPr>
        <w:t>eticização</w:t>
      </w:r>
      <w:proofErr w:type="spellEnd"/>
      <w:r w:rsidRPr="00F522C1">
        <w:rPr>
          <w:rFonts w:ascii="Times New Roman" w:hAnsi="Times New Roman" w:cs="Times New Roman"/>
          <w:sz w:val="24"/>
          <w:szCs w:val="24"/>
        </w:rPr>
        <w:t xml:space="preserve"> da religião atinge a linha de chegada especialmente </w:t>
      </w:r>
      <w:r w:rsidR="000F36C7" w:rsidRPr="00F522C1">
        <w:rPr>
          <w:rFonts w:ascii="Times New Roman" w:hAnsi="Times New Roman" w:cs="Times New Roman"/>
          <w:sz w:val="24"/>
          <w:szCs w:val="24"/>
        </w:rPr>
        <w:t xml:space="preserve">com os profetas de Israel </w:t>
      </w:r>
      <w:r w:rsidR="00A37464" w:rsidRPr="00F522C1">
        <w:rPr>
          <w:rFonts w:ascii="Times New Roman" w:hAnsi="Times New Roman" w:cs="Times New Roman"/>
          <w:sz w:val="24"/>
          <w:szCs w:val="24"/>
        </w:rPr>
        <w:t xml:space="preserve">(WEBER, 2000) </w:t>
      </w:r>
      <w:r w:rsidR="000F36C7" w:rsidRPr="00F522C1">
        <w:rPr>
          <w:rFonts w:ascii="Times New Roman" w:hAnsi="Times New Roman" w:cs="Times New Roman"/>
          <w:sz w:val="24"/>
          <w:szCs w:val="24"/>
        </w:rPr>
        <w:t xml:space="preserve">que passaram a escrever as suas mensagens </w:t>
      </w:r>
      <w:r w:rsidR="00707328" w:rsidRPr="00F522C1">
        <w:rPr>
          <w:rFonts w:ascii="Times New Roman" w:hAnsi="Times New Roman" w:cs="Times New Roman"/>
          <w:sz w:val="24"/>
          <w:szCs w:val="24"/>
        </w:rPr>
        <w:t>no</w:t>
      </w:r>
      <w:r w:rsidRPr="00F522C1">
        <w:rPr>
          <w:rFonts w:ascii="Times New Roman" w:hAnsi="Times New Roman" w:cs="Times New Roman"/>
          <w:sz w:val="24"/>
          <w:szCs w:val="24"/>
        </w:rPr>
        <w:t xml:space="preserve"> século VIII a.C.</w:t>
      </w:r>
      <w:r w:rsidR="00EC43D1" w:rsidRPr="00F522C1">
        <w:rPr>
          <w:rFonts w:ascii="Times New Roman" w:hAnsi="Times New Roman" w:cs="Times New Roman"/>
          <w:sz w:val="24"/>
          <w:szCs w:val="24"/>
        </w:rPr>
        <w:t>, como Oseias e Amós</w:t>
      </w:r>
      <w:r w:rsidRPr="00F522C1">
        <w:rPr>
          <w:rFonts w:ascii="Times New Roman" w:hAnsi="Times New Roman" w:cs="Times New Roman"/>
          <w:sz w:val="24"/>
          <w:szCs w:val="24"/>
        </w:rPr>
        <w:t>.</w:t>
      </w:r>
      <w:r w:rsidR="00707328" w:rsidRPr="00F522C1">
        <w:rPr>
          <w:rFonts w:ascii="Times New Roman" w:hAnsi="Times New Roman" w:cs="Times New Roman"/>
          <w:sz w:val="24"/>
          <w:szCs w:val="24"/>
        </w:rPr>
        <w:t xml:space="preserve"> </w:t>
      </w:r>
      <w:r w:rsidR="00EC43D1" w:rsidRPr="00F522C1">
        <w:rPr>
          <w:rFonts w:ascii="Times New Roman" w:hAnsi="Times New Roman" w:cs="Times New Roman"/>
          <w:sz w:val="24"/>
          <w:szCs w:val="24"/>
        </w:rPr>
        <w:t xml:space="preserve">A forma </w:t>
      </w:r>
      <w:r w:rsidR="00707328" w:rsidRPr="00F522C1">
        <w:rPr>
          <w:rFonts w:ascii="Times New Roman" w:hAnsi="Times New Roman" w:cs="Times New Roman"/>
          <w:sz w:val="24"/>
          <w:szCs w:val="24"/>
        </w:rPr>
        <w:t xml:space="preserve">escrita dos desígnios divinos já expressa claramente este </w:t>
      </w:r>
      <w:r w:rsidR="00707328" w:rsidRPr="00F522C1">
        <w:rPr>
          <w:rFonts w:ascii="Times New Roman" w:hAnsi="Times New Roman" w:cs="Times New Roman"/>
          <w:sz w:val="24"/>
          <w:szCs w:val="24"/>
        </w:rPr>
        <w:lastRenderedPageBreak/>
        <w:t>processo de racionalização que se inicia.</w:t>
      </w:r>
      <w:r w:rsidR="00707328" w:rsidRPr="00F522C1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AB70A7">
        <w:rPr>
          <w:rFonts w:ascii="Times New Roman" w:hAnsi="Times New Roman" w:cs="Times New Roman"/>
          <w:sz w:val="24"/>
          <w:szCs w:val="24"/>
        </w:rPr>
        <w:t xml:space="preserve"> Na sua conceituação mais geral, portanto, a profecia existiu dentro e fora do mundo hebreu muito antes dos chamados profetas escritos em Israel.</w:t>
      </w:r>
    </w:p>
    <w:p w:rsidR="00707328" w:rsidRPr="00F522C1" w:rsidRDefault="00707328" w:rsidP="0082196C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F522C1">
        <w:rPr>
          <w:rFonts w:ascii="Times New Roman" w:hAnsi="Times New Roman" w:cs="Times New Roman"/>
          <w:sz w:val="24"/>
          <w:szCs w:val="24"/>
        </w:rPr>
        <w:t>Acredito, no entanto, que é o conceito de “</w:t>
      </w:r>
      <w:proofErr w:type="spellStart"/>
      <w:r w:rsidRPr="00F522C1">
        <w:rPr>
          <w:rFonts w:ascii="Times New Roman" w:hAnsi="Times New Roman" w:cs="Times New Roman"/>
          <w:sz w:val="24"/>
          <w:szCs w:val="24"/>
        </w:rPr>
        <w:t>desmagificação</w:t>
      </w:r>
      <w:proofErr w:type="spellEnd"/>
      <w:r w:rsidRPr="00F522C1">
        <w:rPr>
          <w:rFonts w:ascii="Times New Roman" w:hAnsi="Times New Roman" w:cs="Times New Roman"/>
          <w:sz w:val="24"/>
          <w:szCs w:val="24"/>
        </w:rPr>
        <w:t xml:space="preserve"> do mundo</w:t>
      </w:r>
      <w:r w:rsidR="00EC43D1" w:rsidRPr="00F522C1">
        <w:rPr>
          <w:rFonts w:ascii="Times New Roman" w:hAnsi="Times New Roman" w:cs="Times New Roman"/>
          <w:sz w:val="24"/>
          <w:szCs w:val="24"/>
        </w:rPr>
        <w:t>”</w:t>
      </w:r>
      <w:r w:rsidRPr="00F522C1">
        <w:rPr>
          <w:rFonts w:ascii="Times New Roman" w:hAnsi="Times New Roman" w:cs="Times New Roman"/>
          <w:sz w:val="24"/>
          <w:szCs w:val="24"/>
        </w:rPr>
        <w:t xml:space="preserve"> criado por Weber expressa melhor tudo isso de que estamos falando. Trata-se da perda do sentido mágico do mundo a partir da luta secular da religião </w:t>
      </w:r>
      <w:proofErr w:type="spellStart"/>
      <w:r w:rsidRPr="00F522C1">
        <w:rPr>
          <w:rFonts w:ascii="Times New Roman" w:hAnsi="Times New Roman" w:cs="Times New Roman"/>
          <w:sz w:val="24"/>
          <w:szCs w:val="24"/>
        </w:rPr>
        <w:t>eticizada</w:t>
      </w:r>
      <w:proofErr w:type="spellEnd"/>
      <w:r w:rsidRPr="00F522C1">
        <w:rPr>
          <w:rFonts w:ascii="Times New Roman" w:hAnsi="Times New Roman" w:cs="Times New Roman"/>
          <w:sz w:val="24"/>
          <w:szCs w:val="24"/>
        </w:rPr>
        <w:t xml:space="preserve">, racionalizada, contra a magia (PIERUCCI, 2013, 46). Este processo transcorreu em um longo período marcado pela racionalização religiosa por que passou a religiosidade ocidental em virtude da hegemonia cultural alcançada </w:t>
      </w:r>
      <w:r w:rsidR="00A37464" w:rsidRPr="00F522C1">
        <w:rPr>
          <w:rFonts w:ascii="Times New Roman" w:hAnsi="Times New Roman" w:cs="Times New Roman"/>
          <w:sz w:val="24"/>
          <w:szCs w:val="24"/>
        </w:rPr>
        <w:t xml:space="preserve">pela religião </w:t>
      </w:r>
      <w:r w:rsidRPr="00F522C1">
        <w:rPr>
          <w:rFonts w:ascii="Times New Roman" w:hAnsi="Times New Roman" w:cs="Times New Roman"/>
          <w:sz w:val="24"/>
          <w:szCs w:val="24"/>
        </w:rPr>
        <w:t xml:space="preserve">ética e desencantadora que é o </w:t>
      </w:r>
      <w:proofErr w:type="spellStart"/>
      <w:r w:rsidRPr="00F522C1">
        <w:rPr>
          <w:rFonts w:ascii="Times New Roman" w:hAnsi="Times New Roman" w:cs="Times New Roman"/>
          <w:sz w:val="24"/>
          <w:szCs w:val="24"/>
        </w:rPr>
        <w:t>judeo-cristianismo</w:t>
      </w:r>
      <w:proofErr w:type="spellEnd"/>
      <w:r w:rsidR="00AB70A7">
        <w:rPr>
          <w:rFonts w:ascii="Times New Roman" w:hAnsi="Times New Roman" w:cs="Times New Roman"/>
          <w:sz w:val="24"/>
          <w:szCs w:val="24"/>
        </w:rPr>
        <w:t>, na opinião de</w:t>
      </w:r>
      <w:r w:rsidR="00EC43D1" w:rsidRPr="00F52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2C1">
        <w:rPr>
          <w:rFonts w:ascii="Times New Roman" w:hAnsi="Times New Roman" w:cs="Times New Roman"/>
          <w:sz w:val="24"/>
          <w:szCs w:val="24"/>
        </w:rPr>
        <w:t>Pierucci</w:t>
      </w:r>
      <w:proofErr w:type="spellEnd"/>
      <w:r w:rsidRPr="00F522C1">
        <w:rPr>
          <w:rFonts w:ascii="Times New Roman" w:hAnsi="Times New Roman" w:cs="Times New Roman"/>
          <w:sz w:val="24"/>
          <w:szCs w:val="24"/>
        </w:rPr>
        <w:t xml:space="preserve"> (2000)</w:t>
      </w:r>
      <w:r w:rsidR="00AB70A7">
        <w:rPr>
          <w:rFonts w:ascii="Times New Roman" w:hAnsi="Times New Roman" w:cs="Times New Roman"/>
          <w:sz w:val="24"/>
          <w:szCs w:val="24"/>
        </w:rPr>
        <w:t xml:space="preserve">. Este </w:t>
      </w:r>
      <w:r w:rsidR="00A37464" w:rsidRPr="00F522C1">
        <w:rPr>
          <w:rFonts w:ascii="Times New Roman" w:hAnsi="Times New Roman" w:cs="Times New Roman"/>
          <w:sz w:val="24"/>
          <w:szCs w:val="24"/>
        </w:rPr>
        <w:t xml:space="preserve">lembra, como exemplo, </w:t>
      </w:r>
      <w:r w:rsidRPr="00F522C1">
        <w:rPr>
          <w:rFonts w:ascii="Times New Roman" w:hAnsi="Times New Roman" w:cs="Times New Roman"/>
          <w:sz w:val="24"/>
          <w:szCs w:val="24"/>
        </w:rPr>
        <w:t xml:space="preserve">a perseguição aos feiticeiros e bruxas </w:t>
      </w:r>
      <w:r w:rsidR="00EC43D1" w:rsidRPr="00F522C1">
        <w:rPr>
          <w:rFonts w:ascii="Times New Roman" w:hAnsi="Times New Roman" w:cs="Times New Roman"/>
          <w:sz w:val="24"/>
          <w:szCs w:val="24"/>
        </w:rPr>
        <w:t>pelos</w:t>
      </w:r>
      <w:r w:rsidRPr="00F522C1">
        <w:rPr>
          <w:rFonts w:ascii="Times New Roman" w:hAnsi="Times New Roman" w:cs="Times New Roman"/>
          <w:sz w:val="24"/>
          <w:szCs w:val="24"/>
        </w:rPr>
        <w:t xml:space="preserve"> profetas</w:t>
      </w:r>
      <w:r w:rsidR="00EC43D1" w:rsidRPr="00F522C1">
        <w:rPr>
          <w:rFonts w:ascii="Times New Roman" w:hAnsi="Times New Roman" w:cs="Times New Roman"/>
          <w:sz w:val="24"/>
          <w:szCs w:val="24"/>
        </w:rPr>
        <w:t xml:space="preserve"> de Israel</w:t>
      </w:r>
      <w:r w:rsidRPr="00F522C1">
        <w:rPr>
          <w:rFonts w:ascii="Times New Roman" w:hAnsi="Times New Roman" w:cs="Times New Roman"/>
          <w:sz w:val="24"/>
          <w:szCs w:val="24"/>
        </w:rPr>
        <w:t xml:space="preserve"> e </w:t>
      </w:r>
      <w:r w:rsidR="00EC43D1" w:rsidRPr="00F522C1">
        <w:rPr>
          <w:rFonts w:ascii="Times New Roman" w:hAnsi="Times New Roman" w:cs="Times New Roman"/>
          <w:sz w:val="24"/>
          <w:szCs w:val="24"/>
        </w:rPr>
        <w:t xml:space="preserve">pelos </w:t>
      </w:r>
      <w:r w:rsidRPr="00F522C1">
        <w:rPr>
          <w:rFonts w:ascii="Times New Roman" w:hAnsi="Times New Roman" w:cs="Times New Roman"/>
          <w:sz w:val="24"/>
          <w:szCs w:val="24"/>
        </w:rPr>
        <w:t>inquisidores</w:t>
      </w:r>
      <w:r w:rsidR="00EC43D1" w:rsidRPr="00F522C1">
        <w:rPr>
          <w:rFonts w:ascii="Times New Roman" w:hAnsi="Times New Roman" w:cs="Times New Roman"/>
          <w:sz w:val="24"/>
          <w:szCs w:val="24"/>
        </w:rPr>
        <w:t xml:space="preserve"> da Igreja</w:t>
      </w:r>
      <w:r w:rsidR="00AE4ED1" w:rsidRPr="00F522C1">
        <w:rPr>
          <w:rFonts w:ascii="Times New Roman" w:hAnsi="Times New Roman" w:cs="Times New Roman"/>
          <w:sz w:val="24"/>
          <w:szCs w:val="24"/>
        </w:rPr>
        <w:t xml:space="preserve"> Romana</w:t>
      </w:r>
      <w:r w:rsidRPr="00F522C1">
        <w:rPr>
          <w:rFonts w:ascii="Times New Roman" w:hAnsi="Times New Roman" w:cs="Times New Roman"/>
          <w:sz w:val="24"/>
          <w:szCs w:val="24"/>
        </w:rPr>
        <w:t xml:space="preserve">. Uma passagem </w:t>
      </w:r>
      <w:r w:rsidR="00AE4ED1" w:rsidRPr="00F522C1">
        <w:rPr>
          <w:rFonts w:ascii="Times New Roman" w:hAnsi="Times New Roman" w:cs="Times New Roman"/>
          <w:sz w:val="24"/>
          <w:szCs w:val="24"/>
        </w:rPr>
        <w:t>do Antigo Testamento</w:t>
      </w:r>
      <w:r w:rsidRPr="00F522C1">
        <w:rPr>
          <w:rFonts w:ascii="Times New Roman" w:hAnsi="Times New Roman" w:cs="Times New Roman"/>
          <w:sz w:val="24"/>
          <w:szCs w:val="24"/>
        </w:rPr>
        <w:t xml:space="preserve"> que ilustra muito bem esta tese de Weber</w:t>
      </w:r>
      <w:r w:rsidR="00A37464" w:rsidRPr="00F522C1">
        <w:rPr>
          <w:rFonts w:ascii="Times New Roman" w:hAnsi="Times New Roman" w:cs="Times New Roman"/>
          <w:sz w:val="24"/>
          <w:szCs w:val="24"/>
        </w:rPr>
        <w:t xml:space="preserve"> e de </w:t>
      </w:r>
      <w:proofErr w:type="spellStart"/>
      <w:r w:rsidR="00A37464" w:rsidRPr="00F522C1">
        <w:rPr>
          <w:rFonts w:ascii="Times New Roman" w:hAnsi="Times New Roman" w:cs="Times New Roman"/>
          <w:sz w:val="24"/>
          <w:szCs w:val="24"/>
        </w:rPr>
        <w:t>Pierucci</w:t>
      </w:r>
      <w:proofErr w:type="spellEnd"/>
      <w:r w:rsidRPr="00F522C1">
        <w:rPr>
          <w:rFonts w:ascii="Times New Roman" w:hAnsi="Times New Roman" w:cs="Times New Roman"/>
          <w:sz w:val="24"/>
          <w:szCs w:val="24"/>
        </w:rPr>
        <w:t xml:space="preserve"> é a destruição dos profetas de Baal pelo profeta Elias (1 Reis, 18, 36-40). </w:t>
      </w:r>
      <w:r w:rsidR="004D6524">
        <w:rPr>
          <w:rFonts w:ascii="Times New Roman" w:hAnsi="Times New Roman" w:cs="Times New Roman"/>
          <w:sz w:val="24"/>
          <w:szCs w:val="24"/>
        </w:rPr>
        <w:t>A</w:t>
      </w:r>
      <w:r w:rsidR="004D6524" w:rsidRPr="00F522C1">
        <w:rPr>
          <w:rFonts w:ascii="Times New Roman" w:hAnsi="Times New Roman" w:cs="Times New Roman"/>
          <w:sz w:val="24"/>
          <w:szCs w:val="24"/>
        </w:rPr>
        <w:t xml:space="preserve"> pregação ética dos profetas </w:t>
      </w:r>
      <w:r w:rsidR="004D6524">
        <w:rPr>
          <w:rFonts w:ascii="Times New Roman" w:hAnsi="Times New Roman" w:cs="Times New Roman"/>
          <w:sz w:val="24"/>
          <w:szCs w:val="24"/>
        </w:rPr>
        <w:t xml:space="preserve">exigia </w:t>
      </w:r>
      <w:r w:rsidR="004D6524" w:rsidRPr="00F522C1">
        <w:rPr>
          <w:rFonts w:ascii="Times New Roman" w:hAnsi="Times New Roman" w:cs="Times New Roman"/>
          <w:sz w:val="24"/>
          <w:szCs w:val="24"/>
        </w:rPr>
        <w:t xml:space="preserve">a experiência com um Deus pessoal “da libertação, da justiça e da liberdade” (REIMER, 2003, p. 37). </w:t>
      </w:r>
      <w:r w:rsidR="004D6524">
        <w:rPr>
          <w:rFonts w:ascii="Times New Roman" w:hAnsi="Times New Roman" w:cs="Times New Roman"/>
          <w:sz w:val="24"/>
          <w:szCs w:val="24"/>
        </w:rPr>
        <w:t>Já o</w:t>
      </w:r>
      <w:r w:rsidR="004D6524" w:rsidRPr="00F522C1">
        <w:rPr>
          <w:rFonts w:ascii="Times New Roman" w:hAnsi="Times New Roman" w:cs="Times New Roman"/>
          <w:sz w:val="24"/>
          <w:szCs w:val="24"/>
        </w:rPr>
        <w:t xml:space="preserve">s deuses e deusas cananeias eram forças naturais personificadas e, por </w:t>
      </w:r>
      <w:r w:rsidR="004D6524">
        <w:rPr>
          <w:rFonts w:ascii="Times New Roman" w:hAnsi="Times New Roman" w:cs="Times New Roman"/>
          <w:sz w:val="24"/>
          <w:szCs w:val="24"/>
        </w:rPr>
        <w:t>isso</w:t>
      </w:r>
      <w:r w:rsidR="004D6524" w:rsidRPr="00F522C1">
        <w:rPr>
          <w:rFonts w:ascii="Times New Roman" w:hAnsi="Times New Roman" w:cs="Times New Roman"/>
          <w:sz w:val="24"/>
          <w:szCs w:val="24"/>
        </w:rPr>
        <w:t xml:space="preserve">, não exigiam um comportamento ético de seus adoradores. </w:t>
      </w:r>
      <w:r w:rsidRPr="00F522C1">
        <w:rPr>
          <w:rFonts w:ascii="Times New Roman" w:hAnsi="Times New Roman" w:cs="Times New Roman"/>
          <w:sz w:val="24"/>
          <w:szCs w:val="24"/>
        </w:rPr>
        <w:t>Para Weber, os profetas de Israel</w:t>
      </w:r>
      <w:r w:rsidR="00EC43D1" w:rsidRPr="00F522C1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Pr="00F522C1">
        <w:rPr>
          <w:rFonts w:ascii="Times New Roman" w:hAnsi="Times New Roman" w:cs="Times New Roman"/>
          <w:sz w:val="24"/>
          <w:szCs w:val="24"/>
        </w:rPr>
        <w:t xml:space="preserve"> foram os primeiros desencantadores do mundo, conjugados com o pensamento científico grego, dois fatores originariamente constitutivos do racionalismo ocidental</w:t>
      </w:r>
      <w:r w:rsidR="00BA0ACD">
        <w:rPr>
          <w:rFonts w:ascii="Times New Roman" w:hAnsi="Times New Roman" w:cs="Times New Roman"/>
          <w:sz w:val="24"/>
          <w:szCs w:val="24"/>
        </w:rPr>
        <w:t xml:space="preserve"> (COSTA, 2015)</w:t>
      </w:r>
      <w:r w:rsidRPr="00F522C1">
        <w:rPr>
          <w:rFonts w:ascii="Times New Roman" w:hAnsi="Times New Roman" w:cs="Times New Roman"/>
          <w:sz w:val="24"/>
          <w:szCs w:val="24"/>
        </w:rPr>
        <w:t>.</w:t>
      </w:r>
    </w:p>
    <w:p w:rsidR="00694ACA" w:rsidRPr="00F522C1" w:rsidRDefault="00694ACA" w:rsidP="0082196C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F522C1">
        <w:rPr>
          <w:rFonts w:ascii="Times New Roman" w:hAnsi="Times New Roman" w:cs="Times New Roman"/>
          <w:sz w:val="24"/>
          <w:szCs w:val="24"/>
        </w:rPr>
        <w:t xml:space="preserve">É o mesmo processo que </w:t>
      </w:r>
      <w:r w:rsidR="0082196C">
        <w:rPr>
          <w:rFonts w:ascii="Times New Roman" w:hAnsi="Times New Roman" w:cs="Times New Roman"/>
          <w:sz w:val="24"/>
          <w:szCs w:val="24"/>
        </w:rPr>
        <w:t>Costa (2015)</w:t>
      </w:r>
      <w:r w:rsidRPr="00F522C1">
        <w:rPr>
          <w:rFonts w:ascii="Times New Roman" w:hAnsi="Times New Roman" w:cs="Times New Roman"/>
          <w:sz w:val="24"/>
          <w:szCs w:val="24"/>
        </w:rPr>
        <w:t xml:space="preserve"> denomina de </w:t>
      </w:r>
      <w:proofErr w:type="spellStart"/>
      <w:r w:rsidRPr="00F522C1">
        <w:rPr>
          <w:rFonts w:ascii="Times New Roman" w:hAnsi="Times New Roman" w:cs="Times New Roman"/>
          <w:sz w:val="24"/>
          <w:szCs w:val="24"/>
        </w:rPr>
        <w:t>demitologização</w:t>
      </w:r>
      <w:proofErr w:type="spellEnd"/>
      <w:r w:rsidRPr="00F522C1">
        <w:rPr>
          <w:rFonts w:ascii="Times New Roman" w:hAnsi="Times New Roman" w:cs="Times New Roman"/>
          <w:sz w:val="24"/>
          <w:szCs w:val="24"/>
        </w:rPr>
        <w:t xml:space="preserve"> que ocorre em dois âmbitos: </w:t>
      </w:r>
      <w:r w:rsidR="00F522C1">
        <w:rPr>
          <w:rFonts w:ascii="Times New Roman" w:hAnsi="Times New Roman" w:cs="Times New Roman"/>
          <w:sz w:val="24"/>
          <w:szCs w:val="24"/>
        </w:rPr>
        <w:t>de</w:t>
      </w:r>
      <w:r w:rsidRPr="00F522C1">
        <w:rPr>
          <w:rFonts w:ascii="Times New Roman" w:hAnsi="Times New Roman" w:cs="Times New Roman"/>
          <w:sz w:val="24"/>
          <w:szCs w:val="24"/>
        </w:rPr>
        <w:t xml:space="preserve"> um lado, ela não está sob o controle impessoal e caprichoso do destino ou dos astros</w:t>
      </w:r>
      <w:r w:rsidR="00F522C1">
        <w:rPr>
          <w:rFonts w:ascii="Times New Roman" w:hAnsi="Times New Roman" w:cs="Times New Roman"/>
          <w:sz w:val="24"/>
          <w:szCs w:val="24"/>
        </w:rPr>
        <w:t xml:space="preserve">, </w:t>
      </w:r>
      <w:r w:rsidRPr="00F522C1">
        <w:rPr>
          <w:rFonts w:ascii="Times New Roman" w:hAnsi="Times New Roman" w:cs="Times New Roman"/>
          <w:sz w:val="24"/>
          <w:szCs w:val="24"/>
        </w:rPr>
        <w:t>como entre os gregos e os babilônios; por outro lado, a História não pode ser controlada pelo agir mágico e pelos caprichos humanos</w:t>
      </w:r>
      <w:r w:rsidR="00F522C1">
        <w:rPr>
          <w:rFonts w:ascii="Times New Roman" w:hAnsi="Times New Roman" w:cs="Times New Roman"/>
          <w:sz w:val="24"/>
          <w:szCs w:val="24"/>
        </w:rPr>
        <w:t xml:space="preserve">, </w:t>
      </w:r>
      <w:r w:rsidRPr="00F522C1">
        <w:rPr>
          <w:rFonts w:ascii="Times New Roman" w:hAnsi="Times New Roman" w:cs="Times New Roman"/>
          <w:sz w:val="24"/>
          <w:szCs w:val="24"/>
        </w:rPr>
        <w:t>como entre os cananeus. Portanto, a História</w:t>
      </w:r>
      <w:r w:rsidR="00F522C1">
        <w:rPr>
          <w:rFonts w:ascii="Times New Roman" w:hAnsi="Times New Roman" w:cs="Times New Roman"/>
          <w:sz w:val="24"/>
          <w:szCs w:val="24"/>
        </w:rPr>
        <w:t xml:space="preserve"> é </w:t>
      </w:r>
      <w:proofErr w:type="spellStart"/>
      <w:r w:rsidRPr="00F522C1">
        <w:rPr>
          <w:rFonts w:ascii="Times New Roman" w:hAnsi="Times New Roman" w:cs="Times New Roman"/>
          <w:sz w:val="24"/>
          <w:szCs w:val="24"/>
        </w:rPr>
        <w:t>demitologizada</w:t>
      </w:r>
      <w:proofErr w:type="spellEnd"/>
      <w:r w:rsidRPr="00F522C1">
        <w:rPr>
          <w:rFonts w:ascii="Times New Roman" w:hAnsi="Times New Roman" w:cs="Times New Roman"/>
          <w:sz w:val="24"/>
          <w:szCs w:val="24"/>
        </w:rPr>
        <w:t xml:space="preserve">. </w:t>
      </w:r>
      <w:r w:rsidR="00F522C1">
        <w:rPr>
          <w:rFonts w:ascii="Times New Roman" w:hAnsi="Times New Roman" w:cs="Times New Roman"/>
          <w:sz w:val="24"/>
          <w:szCs w:val="24"/>
        </w:rPr>
        <w:t xml:space="preserve">Sem </w:t>
      </w:r>
      <w:r w:rsidRPr="00F522C1">
        <w:rPr>
          <w:rFonts w:ascii="Times New Roman" w:hAnsi="Times New Roman" w:cs="Times New Roman"/>
          <w:sz w:val="24"/>
          <w:szCs w:val="24"/>
        </w:rPr>
        <w:t xml:space="preserve">dúvida, uma compreensão totalmente nova da religião e de suas exigências éticas estabeleceu-se na pregação profética (SCOTT, 1968, p. 27). Essas exigências estavam implícitas na religião </w:t>
      </w:r>
      <w:proofErr w:type="spellStart"/>
      <w:r w:rsidRPr="00F522C1">
        <w:rPr>
          <w:rFonts w:ascii="Times New Roman" w:hAnsi="Times New Roman" w:cs="Times New Roman"/>
          <w:sz w:val="24"/>
          <w:szCs w:val="24"/>
        </w:rPr>
        <w:t>javista</w:t>
      </w:r>
      <w:proofErr w:type="spellEnd"/>
      <w:r w:rsidRPr="00F522C1">
        <w:rPr>
          <w:rFonts w:ascii="Times New Roman" w:hAnsi="Times New Roman" w:cs="Times New Roman"/>
          <w:sz w:val="24"/>
          <w:szCs w:val="24"/>
        </w:rPr>
        <w:t xml:space="preserve">, mas suas implicações práticas não eram totalmente reconhecidas. Foram os profetas que tornaram concretamente explícitas as implicações presentes das prescrições da aliança. Nesse sentido, eles tomam o direito </w:t>
      </w:r>
      <w:r w:rsidR="0082196C">
        <w:rPr>
          <w:rFonts w:ascii="Times New Roman" w:hAnsi="Times New Roman" w:cs="Times New Roman"/>
          <w:sz w:val="24"/>
          <w:szCs w:val="24"/>
        </w:rPr>
        <w:t>dos pobres</w:t>
      </w:r>
      <w:r w:rsidRPr="00F522C1">
        <w:rPr>
          <w:rFonts w:ascii="Times New Roman" w:hAnsi="Times New Roman" w:cs="Times New Roman"/>
          <w:sz w:val="24"/>
          <w:szCs w:val="24"/>
        </w:rPr>
        <w:t xml:space="preserve"> como ponto </w:t>
      </w:r>
      <w:r w:rsidR="0082196C">
        <w:rPr>
          <w:rFonts w:ascii="Times New Roman" w:hAnsi="Times New Roman" w:cs="Times New Roman"/>
          <w:sz w:val="24"/>
          <w:szCs w:val="24"/>
        </w:rPr>
        <w:t>crucial de suas mensagens (COSTA, 2015).</w:t>
      </w:r>
    </w:p>
    <w:p w:rsidR="00694ACA" w:rsidRPr="00F522C1" w:rsidRDefault="009007EA" w:rsidP="0082196C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F522C1">
        <w:rPr>
          <w:rFonts w:ascii="Times New Roman" w:hAnsi="Times New Roman" w:cs="Times New Roman"/>
          <w:sz w:val="24"/>
          <w:szCs w:val="24"/>
        </w:rPr>
        <w:t xml:space="preserve">Aquele processo de </w:t>
      </w:r>
      <w:proofErr w:type="spellStart"/>
      <w:r w:rsidRPr="00F522C1">
        <w:rPr>
          <w:rFonts w:ascii="Times New Roman" w:hAnsi="Times New Roman" w:cs="Times New Roman"/>
          <w:sz w:val="24"/>
          <w:szCs w:val="24"/>
        </w:rPr>
        <w:t>transcendalização</w:t>
      </w:r>
      <w:proofErr w:type="spellEnd"/>
      <w:r w:rsidRPr="00F522C1">
        <w:rPr>
          <w:rFonts w:ascii="Times New Roman" w:hAnsi="Times New Roman" w:cs="Times New Roman"/>
          <w:sz w:val="24"/>
          <w:szCs w:val="24"/>
        </w:rPr>
        <w:t>, que o cristianismo fez adormecer por meio de sua obra de síntese entre o monoteísmo bíblico e as concepções cosmológicas não-bíblicas – é en</w:t>
      </w:r>
      <w:r w:rsidR="000F602E" w:rsidRPr="00F522C1">
        <w:rPr>
          <w:rFonts w:ascii="Times New Roman" w:hAnsi="Times New Roman" w:cs="Times New Roman"/>
          <w:sz w:val="24"/>
          <w:szCs w:val="24"/>
        </w:rPr>
        <w:t>c</w:t>
      </w:r>
      <w:r w:rsidRPr="00F522C1">
        <w:rPr>
          <w:rFonts w:ascii="Times New Roman" w:hAnsi="Times New Roman" w:cs="Times New Roman"/>
          <w:sz w:val="24"/>
          <w:szCs w:val="24"/>
        </w:rPr>
        <w:t xml:space="preserve">errado pelo protestantismo. “O protestantismo pode </w:t>
      </w:r>
      <w:r w:rsidRPr="00F522C1">
        <w:rPr>
          <w:rFonts w:ascii="Times New Roman" w:hAnsi="Times New Roman" w:cs="Times New Roman"/>
          <w:sz w:val="24"/>
          <w:szCs w:val="24"/>
        </w:rPr>
        <w:lastRenderedPageBreak/>
        <w:t>ser descrito como uma gigantesca retração do alcance do sagrado na realidade</w:t>
      </w:r>
      <w:r w:rsidR="00AE4ED1" w:rsidRPr="00F522C1">
        <w:rPr>
          <w:rFonts w:ascii="Times New Roman" w:hAnsi="Times New Roman" w:cs="Times New Roman"/>
          <w:sz w:val="24"/>
          <w:szCs w:val="24"/>
        </w:rPr>
        <w:t>”</w:t>
      </w:r>
      <w:r w:rsidRPr="00F522C1">
        <w:rPr>
          <w:rFonts w:ascii="Times New Roman" w:hAnsi="Times New Roman" w:cs="Times New Roman"/>
          <w:sz w:val="24"/>
          <w:szCs w:val="24"/>
        </w:rPr>
        <w:t xml:space="preserve"> (BERGER, 2001, 111). Como afirma </w:t>
      </w:r>
      <w:proofErr w:type="spellStart"/>
      <w:r w:rsidRPr="00F522C1">
        <w:rPr>
          <w:rFonts w:ascii="Times New Roman" w:hAnsi="Times New Roman" w:cs="Times New Roman"/>
          <w:sz w:val="24"/>
          <w:szCs w:val="24"/>
        </w:rPr>
        <w:t>Montero</w:t>
      </w:r>
      <w:proofErr w:type="spellEnd"/>
      <w:r w:rsidRPr="00F522C1">
        <w:rPr>
          <w:rFonts w:ascii="Times New Roman" w:hAnsi="Times New Roman" w:cs="Times New Roman"/>
          <w:sz w:val="24"/>
          <w:szCs w:val="24"/>
        </w:rPr>
        <w:t xml:space="preserve">, </w:t>
      </w:r>
      <w:r w:rsidR="00AE4ED1" w:rsidRPr="00F522C1">
        <w:rPr>
          <w:rFonts w:ascii="Times New Roman" w:hAnsi="Times New Roman" w:cs="Times New Roman"/>
          <w:sz w:val="24"/>
          <w:szCs w:val="24"/>
        </w:rPr>
        <w:t>“</w:t>
      </w:r>
      <w:r w:rsidRPr="00F522C1">
        <w:rPr>
          <w:rFonts w:ascii="Times New Roman" w:hAnsi="Times New Roman" w:cs="Times New Roman"/>
          <w:sz w:val="24"/>
          <w:szCs w:val="24"/>
        </w:rPr>
        <w:t>o viés do legado protestante implícito no paradigma da secularização faz da emergência da sociedade civil uma extensão da lógica secularização do próprio protestantismo” (MONTERO, 2006, 48).</w:t>
      </w:r>
      <w:r w:rsidR="00AE4ED1" w:rsidRPr="00F522C1">
        <w:rPr>
          <w:rFonts w:ascii="Times New Roman" w:hAnsi="Times New Roman" w:cs="Times New Roman"/>
          <w:sz w:val="24"/>
          <w:szCs w:val="24"/>
        </w:rPr>
        <w:t xml:space="preserve"> </w:t>
      </w:r>
      <w:r w:rsidR="00833782" w:rsidRPr="00F522C1">
        <w:rPr>
          <w:rFonts w:ascii="Times New Roman" w:hAnsi="Times New Roman" w:cs="Times New Roman"/>
          <w:sz w:val="24"/>
          <w:szCs w:val="24"/>
        </w:rPr>
        <w:t xml:space="preserve"> </w:t>
      </w:r>
      <w:r w:rsidR="00AE4ED1" w:rsidRPr="00F522C1">
        <w:rPr>
          <w:rFonts w:ascii="Times New Roman" w:hAnsi="Times New Roman" w:cs="Times New Roman"/>
          <w:sz w:val="24"/>
          <w:szCs w:val="24"/>
        </w:rPr>
        <w:t xml:space="preserve">Assim, </w:t>
      </w:r>
      <w:r w:rsidR="00833782" w:rsidRPr="00F522C1">
        <w:rPr>
          <w:rFonts w:ascii="Times New Roman" w:hAnsi="Times New Roman" w:cs="Times New Roman"/>
          <w:sz w:val="24"/>
          <w:szCs w:val="24"/>
        </w:rPr>
        <w:t xml:space="preserve">A culminação desse processo se dá no protestantismo calvinista, com sua ética ascética totalmente voltada para este mundo. Em seu livro </w:t>
      </w:r>
      <w:r w:rsidR="00833782" w:rsidRPr="00F522C1">
        <w:rPr>
          <w:rFonts w:ascii="Times New Roman" w:hAnsi="Times New Roman" w:cs="Times New Roman"/>
          <w:i/>
          <w:sz w:val="24"/>
          <w:szCs w:val="24"/>
        </w:rPr>
        <w:t>A Ética Protestante e o Espírito do Capitalismo</w:t>
      </w:r>
      <w:r w:rsidR="00833782" w:rsidRPr="00F522C1">
        <w:rPr>
          <w:rFonts w:ascii="Times New Roman" w:hAnsi="Times New Roman" w:cs="Times New Roman"/>
          <w:sz w:val="24"/>
          <w:szCs w:val="24"/>
        </w:rPr>
        <w:t xml:space="preserve">, </w:t>
      </w:r>
      <w:r w:rsidR="00AE4ED1" w:rsidRPr="00F522C1">
        <w:rPr>
          <w:rFonts w:ascii="Times New Roman" w:hAnsi="Times New Roman" w:cs="Times New Roman"/>
          <w:sz w:val="24"/>
          <w:szCs w:val="24"/>
        </w:rPr>
        <w:t>Weber</w:t>
      </w:r>
      <w:r w:rsidR="00833782" w:rsidRPr="00F522C1">
        <w:rPr>
          <w:rFonts w:ascii="Times New Roman" w:hAnsi="Times New Roman" w:cs="Times New Roman"/>
          <w:sz w:val="24"/>
          <w:szCs w:val="24"/>
        </w:rPr>
        <w:t xml:space="preserve"> postula que esse tipo de ética intramundana, com sua consciência de vocação, fez surgir o tipo de racionalidade </w:t>
      </w:r>
      <w:r w:rsidR="00B65956" w:rsidRPr="00F522C1">
        <w:rPr>
          <w:rFonts w:ascii="Times New Roman" w:hAnsi="Times New Roman" w:cs="Times New Roman"/>
          <w:sz w:val="24"/>
          <w:szCs w:val="24"/>
        </w:rPr>
        <w:t xml:space="preserve">e individualismo </w:t>
      </w:r>
      <w:r w:rsidR="00833782" w:rsidRPr="00F522C1">
        <w:rPr>
          <w:rFonts w:ascii="Times New Roman" w:hAnsi="Times New Roman" w:cs="Times New Roman"/>
          <w:sz w:val="24"/>
          <w:szCs w:val="24"/>
        </w:rPr>
        <w:t>característic</w:t>
      </w:r>
      <w:r w:rsidR="00B65956" w:rsidRPr="00F522C1">
        <w:rPr>
          <w:rFonts w:ascii="Times New Roman" w:hAnsi="Times New Roman" w:cs="Times New Roman"/>
          <w:sz w:val="24"/>
          <w:szCs w:val="24"/>
        </w:rPr>
        <w:t>os</w:t>
      </w:r>
      <w:r w:rsidR="00833782" w:rsidRPr="00F522C1">
        <w:rPr>
          <w:rFonts w:ascii="Times New Roman" w:hAnsi="Times New Roman" w:cs="Times New Roman"/>
          <w:sz w:val="24"/>
          <w:szCs w:val="24"/>
        </w:rPr>
        <w:t xml:space="preserve"> do ocidente, com seu </w:t>
      </w:r>
      <w:r w:rsidR="00BA0ACD">
        <w:rPr>
          <w:rFonts w:ascii="Times New Roman" w:hAnsi="Times New Roman" w:cs="Times New Roman"/>
          <w:sz w:val="24"/>
          <w:szCs w:val="24"/>
        </w:rPr>
        <w:t xml:space="preserve">desdobramento </w:t>
      </w:r>
      <w:r w:rsidR="00833782" w:rsidRPr="00F522C1">
        <w:rPr>
          <w:rFonts w:ascii="Times New Roman" w:hAnsi="Times New Roman" w:cs="Times New Roman"/>
          <w:sz w:val="24"/>
          <w:szCs w:val="24"/>
        </w:rPr>
        <w:t xml:space="preserve">consequente </w:t>
      </w:r>
      <w:r w:rsidR="00BA0ACD">
        <w:rPr>
          <w:rFonts w:ascii="Times New Roman" w:hAnsi="Times New Roman" w:cs="Times New Roman"/>
          <w:sz w:val="24"/>
          <w:szCs w:val="24"/>
        </w:rPr>
        <w:t xml:space="preserve">no </w:t>
      </w:r>
      <w:r w:rsidR="00833782" w:rsidRPr="00F522C1">
        <w:rPr>
          <w:rFonts w:ascii="Times New Roman" w:hAnsi="Times New Roman" w:cs="Times New Roman"/>
          <w:sz w:val="24"/>
          <w:szCs w:val="24"/>
        </w:rPr>
        <w:t>sistema econômico</w:t>
      </w:r>
      <w:r w:rsidR="00B65956" w:rsidRPr="00F522C1">
        <w:rPr>
          <w:rFonts w:ascii="Times New Roman" w:hAnsi="Times New Roman" w:cs="Times New Roman"/>
          <w:sz w:val="24"/>
          <w:szCs w:val="24"/>
        </w:rPr>
        <w:t xml:space="preserve"> capitalista.</w:t>
      </w:r>
      <w:r w:rsidR="00694ACA" w:rsidRPr="00F522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2C1" w:rsidRPr="00F522C1" w:rsidRDefault="00F522C1" w:rsidP="00F522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02E" w:rsidRPr="004D6524" w:rsidRDefault="000F602E" w:rsidP="00F522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524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0F602E" w:rsidRPr="004D6524" w:rsidRDefault="000F602E" w:rsidP="00F522C1">
      <w:pPr>
        <w:jc w:val="both"/>
        <w:rPr>
          <w:rFonts w:ascii="Times New Roman" w:hAnsi="Times New Roman" w:cs="Times New Roman"/>
          <w:sz w:val="24"/>
          <w:szCs w:val="24"/>
        </w:rPr>
      </w:pPr>
      <w:r w:rsidRPr="004D6524">
        <w:rPr>
          <w:rFonts w:ascii="Times New Roman" w:hAnsi="Times New Roman" w:cs="Times New Roman"/>
          <w:sz w:val="24"/>
          <w:szCs w:val="24"/>
        </w:rPr>
        <w:t xml:space="preserve">BERGER, Peter. A </w:t>
      </w:r>
      <w:proofErr w:type="spellStart"/>
      <w:r w:rsidRPr="004D6524">
        <w:rPr>
          <w:rFonts w:ascii="Times New Roman" w:hAnsi="Times New Roman" w:cs="Times New Roman"/>
          <w:sz w:val="24"/>
          <w:szCs w:val="24"/>
        </w:rPr>
        <w:t>dessecularização</w:t>
      </w:r>
      <w:proofErr w:type="spellEnd"/>
      <w:r w:rsidRPr="004D6524">
        <w:rPr>
          <w:rFonts w:ascii="Times New Roman" w:hAnsi="Times New Roman" w:cs="Times New Roman"/>
          <w:sz w:val="24"/>
          <w:szCs w:val="24"/>
        </w:rPr>
        <w:t xml:space="preserve"> do mundo: uma visão global. I</w:t>
      </w:r>
      <w:r w:rsidR="006E7627">
        <w:rPr>
          <w:rFonts w:ascii="Times New Roman" w:hAnsi="Times New Roman" w:cs="Times New Roman"/>
          <w:sz w:val="24"/>
          <w:szCs w:val="24"/>
        </w:rPr>
        <w:t>n</w:t>
      </w:r>
      <w:r w:rsidRPr="004D6524">
        <w:rPr>
          <w:rFonts w:ascii="Times New Roman" w:hAnsi="Times New Roman" w:cs="Times New Roman"/>
          <w:sz w:val="24"/>
          <w:szCs w:val="24"/>
        </w:rPr>
        <w:t xml:space="preserve"> Religião e Sociedade, v. 21, n. 1, p. 9-23, 2001.</w:t>
      </w:r>
    </w:p>
    <w:p w:rsidR="002938FA" w:rsidRPr="004D6524" w:rsidRDefault="001D0647" w:rsidP="00F522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BERGER, Peter</w:t>
      </w:r>
      <w:r w:rsidR="002938FA" w:rsidRPr="004D6524">
        <w:rPr>
          <w:rFonts w:ascii="Times New Roman" w:hAnsi="Times New Roman" w:cs="Times New Roman"/>
          <w:sz w:val="24"/>
          <w:szCs w:val="24"/>
        </w:rPr>
        <w:t xml:space="preserve">. O Dossel Sagrado: elementos para uma teoria sociológica da religião. São Paulo: </w:t>
      </w:r>
      <w:proofErr w:type="spellStart"/>
      <w:r w:rsidR="002938FA" w:rsidRPr="004D6524">
        <w:rPr>
          <w:rFonts w:ascii="Times New Roman" w:hAnsi="Times New Roman" w:cs="Times New Roman"/>
          <w:sz w:val="24"/>
          <w:szCs w:val="24"/>
        </w:rPr>
        <w:t>Paulus</w:t>
      </w:r>
      <w:proofErr w:type="spellEnd"/>
      <w:r w:rsidR="002938FA" w:rsidRPr="004D6524">
        <w:rPr>
          <w:rFonts w:ascii="Times New Roman" w:hAnsi="Times New Roman" w:cs="Times New Roman"/>
          <w:sz w:val="24"/>
          <w:szCs w:val="24"/>
        </w:rPr>
        <w:t>, 2003.</w:t>
      </w:r>
    </w:p>
    <w:p w:rsidR="002938FA" w:rsidRPr="004D6524" w:rsidRDefault="002938FA" w:rsidP="00F522C1">
      <w:pPr>
        <w:jc w:val="both"/>
        <w:rPr>
          <w:rFonts w:ascii="Times New Roman" w:hAnsi="Times New Roman" w:cs="Times New Roman"/>
          <w:sz w:val="24"/>
          <w:szCs w:val="24"/>
        </w:rPr>
      </w:pPr>
      <w:r w:rsidRPr="004D6524">
        <w:rPr>
          <w:rFonts w:ascii="Times New Roman" w:hAnsi="Times New Roman" w:cs="Times New Roman"/>
          <w:sz w:val="24"/>
          <w:szCs w:val="24"/>
        </w:rPr>
        <w:t xml:space="preserve">JASPERS, Karl. Way </w:t>
      </w:r>
      <w:proofErr w:type="spellStart"/>
      <w:r w:rsidRPr="004D652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D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24">
        <w:rPr>
          <w:rFonts w:ascii="Times New Roman" w:hAnsi="Times New Roman" w:cs="Times New Roman"/>
          <w:sz w:val="24"/>
          <w:szCs w:val="24"/>
        </w:rPr>
        <w:t>Wisdom</w:t>
      </w:r>
      <w:proofErr w:type="spellEnd"/>
      <w:r w:rsidRPr="004D6524">
        <w:rPr>
          <w:rFonts w:ascii="Times New Roman" w:hAnsi="Times New Roman" w:cs="Times New Roman"/>
          <w:sz w:val="24"/>
          <w:szCs w:val="24"/>
        </w:rPr>
        <w:t xml:space="preserve">, na </w:t>
      </w:r>
      <w:proofErr w:type="spellStart"/>
      <w:r w:rsidRPr="004D6524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4D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2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D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24">
        <w:rPr>
          <w:rFonts w:ascii="Times New Roman" w:hAnsi="Times New Roman" w:cs="Times New Roman"/>
          <w:sz w:val="24"/>
          <w:szCs w:val="24"/>
        </w:rPr>
        <w:t>Philosophy</w:t>
      </w:r>
      <w:proofErr w:type="spellEnd"/>
      <w:r w:rsidRPr="004D6524">
        <w:rPr>
          <w:rFonts w:ascii="Times New Roman" w:hAnsi="Times New Roman" w:cs="Times New Roman"/>
          <w:sz w:val="24"/>
          <w:szCs w:val="24"/>
        </w:rPr>
        <w:t xml:space="preserve">. New Haven: Yale </w:t>
      </w:r>
      <w:proofErr w:type="spellStart"/>
      <w:r w:rsidRPr="004D6524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4D6524">
        <w:rPr>
          <w:rFonts w:ascii="Times New Roman" w:hAnsi="Times New Roman" w:cs="Times New Roman"/>
          <w:sz w:val="24"/>
          <w:szCs w:val="24"/>
        </w:rPr>
        <w:t xml:space="preserve"> Press, 1951.</w:t>
      </w:r>
    </w:p>
    <w:p w:rsidR="001D0647" w:rsidRPr="00AB70A7" w:rsidRDefault="00A37464" w:rsidP="00F522C1">
      <w:pPr>
        <w:jc w:val="both"/>
        <w:rPr>
          <w:rFonts w:ascii="Times New Roman" w:hAnsi="Times New Roman" w:cs="Times New Roman"/>
          <w:sz w:val="24"/>
          <w:szCs w:val="24"/>
        </w:rPr>
      </w:pPr>
      <w:r w:rsidRPr="00AB70A7">
        <w:rPr>
          <w:rFonts w:ascii="Times New Roman" w:hAnsi="Times New Roman" w:cs="Times New Roman"/>
          <w:sz w:val="24"/>
          <w:szCs w:val="24"/>
        </w:rPr>
        <w:t xml:space="preserve">COSTA, José Carlos de Lima. Profetismo e transformação sociocultural: um estudo da semente da secularização no profetismo hebraico. </w:t>
      </w:r>
      <w:r w:rsidR="00AB70A7" w:rsidRPr="00AB70A7">
        <w:rPr>
          <w:rFonts w:ascii="Times New Roman" w:hAnsi="Times New Roman" w:cs="Times New Roman"/>
          <w:sz w:val="24"/>
          <w:szCs w:val="24"/>
        </w:rPr>
        <w:t xml:space="preserve">IN Estudos de Religião, Programa de Pós-graduação/Ciências da Religião da Universidade Metodista de São Paulo, </w:t>
      </w:r>
      <w:proofErr w:type="spellStart"/>
      <w:r w:rsidR="00AB70A7" w:rsidRPr="00AB70A7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="00AB70A7" w:rsidRPr="00AB70A7">
        <w:rPr>
          <w:rFonts w:ascii="Times New Roman" w:hAnsi="Times New Roman" w:cs="Times New Roman"/>
          <w:sz w:val="24"/>
          <w:szCs w:val="24"/>
        </w:rPr>
        <w:t xml:space="preserve">, 29, n. 2, 2015. Disponível em </w:t>
      </w:r>
      <w:r w:rsidRPr="00AB70A7">
        <w:rPr>
          <w:rFonts w:ascii="Times New Roman" w:hAnsi="Times New Roman" w:cs="Times New Roman"/>
          <w:sz w:val="24"/>
          <w:szCs w:val="24"/>
        </w:rPr>
        <w:t>Disponível em</w:t>
      </w:r>
      <w:r w:rsidR="001D0647" w:rsidRPr="00AB70A7">
        <w:rPr>
          <w:rFonts w:ascii="Times New Roman" w:hAnsi="Times New Roman" w:cs="Times New Roman"/>
          <w:sz w:val="24"/>
          <w:szCs w:val="24"/>
        </w:rPr>
        <w:t xml:space="preserve">: </w:t>
      </w:r>
      <w:r w:rsidR="00AB70A7" w:rsidRPr="00AB70A7">
        <w:rPr>
          <w:rFonts w:ascii="Times New Roman" w:hAnsi="Times New Roman" w:cs="Times New Roman"/>
          <w:sz w:val="24"/>
          <w:szCs w:val="24"/>
        </w:rPr>
        <w:t>&lt;</w:t>
      </w:r>
      <w:hyperlink r:id="rId7" w:history="1">
        <w:r w:rsidR="00AB70A7" w:rsidRPr="00AB70A7">
          <w:rPr>
            <w:rStyle w:val="Hyperlink"/>
            <w:rFonts w:ascii="Times New Roman" w:hAnsi="Times New Roman" w:cs="Times New Roman"/>
            <w:sz w:val="24"/>
            <w:szCs w:val="24"/>
          </w:rPr>
          <w:t>https://www.metodista.br/revistas/revistasims/index.php/ER/article/view/4870/5083</w:t>
        </w:r>
      </w:hyperlink>
      <w:r w:rsidR="00AB70A7" w:rsidRPr="00AB70A7">
        <w:rPr>
          <w:rFonts w:ascii="Times New Roman" w:hAnsi="Times New Roman" w:cs="Times New Roman"/>
          <w:sz w:val="24"/>
          <w:szCs w:val="24"/>
        </w:rPr>
        <w:t xml:space="preserve"> &gt;</w:t>
      </w:r>
      <w:r w:rsidR="00AB70A7">
        <w:t xml:space="preserve"> </w:t>
      </w:r>
      <w:r w:rsidR="00AB70A7" w:rsidRPr="00AB70A7">
        <w:rPr>
          <w:rFonts w:ascii="Times New Roman" w:hAnsi="Times New Roman" w:cs="Times New Roman"/>
          <w:sz w:val="24"/>
          <w:szCs w:val="24"/>
        </w:rPr>
        <w:t>Acessado em 24/05/2017</w:t>
      </w:r>
      <w:r w:rsidR="006E7627">
        <w:rPr>
          <w:rFonts w:ascii="Times New Roman" w:hAnsi="Times New Roman" w:cs="Times New Roman"/>
          <w:sz w:val="24"/>
          <w:szCs w:val="24"/>
        </w:rPr>
        <w:t>.</w:t>
      </w:r>
    </w:p>
    <w:p w:rsidR="000F602E" w:rsidRPr="004D6524" w:rsidRDefault="000F602E" w:rsidP="00F522C1">
      <w:pPr>
        <w:jc w:val="both"/>
        <w:rPr>
          <w:rFonts w:ascii="Times New Roman" w:hAnsi="Times New Roman" w:cs="Times New Roman"/>
          <w:sz w:val="24"/>
          <w:szCs w:val="24"/>
        </w:rPr>
      </w:pPr>
      <w:r w:rsidRPr="004D6524">
        <w:rPr>
          <w:rFonts w:ascii="Times New Roman" w:hAnsi="Times New Roman" w:cs="Times New Roman"/>
          <w:sz w:val="24"/>
          <w:szCs w:val="24"/>
        </w:rPr>
        <w:t>MONTERO, Paula. Religião, pluralismo e esfera pública no Brasil. In Novos Estudos, CEBRAP, São Paulo, n. 74, p. 47-65, 2006.</w:t>
      </w:r>
    </w:p>
    <w:p w:rsidR="000F602E" w:rsidRPr="004D6524" w:rsidRDefault="000F602E" w:rsidP="00F522C1">
      <w:pPr>
        <w:jc w:val="both"/>
        <w:rPr>
          <w:rFonts w:ascii="Times New Roman" w:hAnsi="Times New Roman" w:cs="Times New Roman"/>
          <w:sz w:val="24"/>
          <w:szCs w:val="24"/>
        </w:rPr>
      </w:pPr>
      <w:r w:rsidRPr="004D6524">
        <w:rPr>
          <w:rFonts w:ascii="Times New Roman" w:hAnsi="Times New Roman" w:cs="Times New Roman"/>
          <w:sz w:val="24"/>
          <w:szCs w:val="24"/>
        </w:rPr>
        <w:t xml:space="preserve">PIERUCCI, </w:t>
      </w:r>
      <w:proofErr w:type="spellStart"/>
      <w:r w:rsidRPr="004D6524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4D6524">
        <w:rPr>
          <w:rFonts w:ascii="Times New Roman" w:hAnsi="Times New Roman" w:cs="Times New Roman"/>
          <w:sz w:val="24"/>
          <w:szCs w:val="24"/>
        </w:rPr>
        <w:t xml:space="preserve"> Flávio. O desencantamento do mundo: todos os passos do conceito em Max Weber. São Paulo: Editora, 34, 2013.</w:t>
      </w:r>
    </w:p>
    <w:p w:rsidR="000F602E" w:rsidRDefault="000F602E" w:rsidP="00F522C1">
      <w:pPr>
        <w:jc w:val="both"/>
        <w:rPr>
          <w:rFonts w:ascii="Times New Roman" w:hAnsi="Times New Roman" w:cs="Times New Roman"/>
          <w:sz w:val="24"/>
          <w:szCs w:val="24"/>
        </w:rPr>
      </w:pPr>
      <w:r w:rsidRPr="004D6524">
        <w:rPr>
          <w:rFonts w:ascii="Times New Roman" w:hAnsi="Times New Roman" w:cs="Times New Roman"/>
          <w:sz w:val="24"/>
          <w:szCs w:val="24"/>
        </w:rPr>
        <w:t>_______</w:t>
      </w:r>
      <w:r w:rsidR="0082196C">
        <w:rPr>
          <w:rFonts w:ascii="Times New Roman" w:hAnsi="Times New Roman" w:cs="Times New Roman"/>
          <w:sz w:val="24"/>
          <w:szCs w:val="24"/>
        </w:rPr>
        <w:t>___</w:t>
      </w:r>
      <w:r w:rsidRPr="004D6524">
        <w:rPr>
          <w:rFonts w:ascii="Times New Roman" w:hAnsi="Times New Roman" w:cs="Times New Roman"/>
          <w:sz w:val="24"/>
          <w:szCs w:val="24"/>
        </w:rPr>
        <w:t>_____________. Secularização segundo Ma</w:t>
      </w:r>
      <w:r w:rsidR="0082196C">
        <w:rPr>
          <w:rFonts w:ascii="Times New Roman" w:hAnsi="Times New Roman" w:cs="Times New Roman"/>
          <w:sz w:val="24"/>
          <w:szCs w:val="24"/>
        </w:rPr>
        <w:t>x</w:t>
      </w:r>
      <w:r w:rsidRPr="004D6524">
        <w:rPr>
          <w:rFonts w:ascii="Times New Roman" w:hAnsi="Times New Roman" w:cs="Times New Roman"/>
          <w:sz w:val="24"/>
          <w:szCs w:val="24"/>
        </w:rPr>
        <w:t xml:space="preserve"> Weber: da contemporânea serventia de voltarmos a acessar um velho sentido. I</w:t>
      </w:r>
      <w:r w:rsidR="006E7627">
        <w:rPr>
          <w:rFonts w:ascii="Times New Roman" w:hAnsi="Times New Roman" w:cs="Times New Roman"/>
          <w:sz w:val="24"/>
          <w:szCs w:val="24"/>
        </w:rPr>
        <w:t>n</w:t>
      </w:r>
      <w:r w:rsidRPr="004D6524">
        <w:rPr>
          <w:rFonts w:ascii="Times New Roman" w:hAnsi="Times New Roman" w:cs="Times New Roman"/>
          <w:sz w:val="24"/>
          <w:szCs w:val="24"/>
        </w:rPr>
        <w:t xml:space="preserve"> SOUZA, Jessé. A Atualidade de </w:t>
      </w:r>
      <w:proofErr w:type="spellStart"/>
      <w:r w:rsidRPr="004D6524">
        <w:rPr>
          <w:rFonts w:ascii="Times New Roman" w:hAnsi="Times New Roman" w:cs="Times New Roman"/>
          <w:sz w:val="24"/>
          <w:szCs w:val="24"/>
        </w:rPr>
        <w:t>Ma</w:t>
      </w:r>
      <w:r w:rsidR="0082196C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="0082196C">
        <w:rPr>
          <w:rFonts w:ascii="Times New Roman" w:hAnsi="Times New Roman" w:cs="Times New Roman"/>
          <w:sz w:val="24"/>
          <w:szCs w:val="24"/>
        </w:rPr>
        <w:t xml:space="preserve"> Weber. Bra</w:t>
      </w:r>
      <w:r w:rsidRPr="004D6524">
        <w:rPr>
          <w:rFonts w:ascii="Times New Roman" w:hAnsi="Times New Roman" w:cs="Times New Roman"/>
          <w:sz w:val="24"/>
          <w:szCs w:val="24"/>
        </w:rPr>
        <w:t>sília: Editora da UNB, 2000, p. 105-162.</w:t>
      </w:r>
    </w:p>
    <w:p w:rsidR="0082196C" w:rsidRPr="009E6D33" w:rsidRDefault="0082196C" w:rsidP="00F522C1">
      <w:pPr>
        <w:jc w:val="both"/>
        <w:rPr>
          <w:rFonts w:ascii="Times New Roman" w:hAnsi="Times New Roman" w:cs="Times New Roman"/>
          <w:sz w:val="24"/>
          <w:szCs w:val="24"/>
        </w:rPr>
      </w:pPr>
      <w:r w:rsidRPr="009E6D33">
        <w:rPr>
          <w:rFonts w:ascii="Times New Roman" w:hAnsi="Times New Roman" w:cs="Times New Roman"/>
          <w:sz w:val="24"/>
          <w:szCs w:val="24"/>
        </w:rPr>
        <w:t xml:space="preserve">REIMER, </w:t>
      </w:r>
      <w:r w:rsidR="009E6D33" w:rsidRPr="009E6D33">
        <w:rPr>
          <w:rFonts w:ascii="Times New Roman" w:hAnsi="Times New Roman" w:cs="Times New Roman"/>
          <w:sz w:val="24"/>
          <w:szCs w:val="24"/>
        </w:rPr>
        <w:t>Haroldo. Sobre a Ética nos Profetas Bíblicos. I</w:t>
      </w:r>
      <w:r w:rsidR="006E7627">
        <w:rPr>
          <w:rFonts w:ascii="Times New Roman" w:hAnsi="Times New Roman" w:cs="Times New Roman"/>
          <w:sz w:val="24"/>
          <w:szCs w:val="24"/>
        </w:rPr>
        <w:t>n</w:t>
      </w:r>
      <w:r w:rsidR="009E6D33" w:rsidRPr="009E6D33">
        <w:rPr>
          <w:rFonts w:ascii="Times New Roman" w:hAnsi="Times New Roman" w:cs="Times New Roman"/>
          <w:sz w:val="24"/>
          <w:szCs w:val="24"/>
        </w:rPr>
        <w:t xml:space="preserve"> Estudo Bíblico, Petrópolis, v. 77, p. 29-38, 2003.</w:t>
      </w:r>
    </w:p>
    <w:p w:rsidR="0082196C" w:rsidRPr="009E6D33" w:rsidRDefault="009E6D33" w:rsidP="009E6D33">
      <w:pPr>
        <w:jc w:val="both"/>
        <w:rPr>
          <w:rFonts w:ascii="Times New Roman" w:hAnsi="Times New Roman" w:cs="Times New Roman"/>
          <w:sz w:val="24"/>
          <w:szCs w:val="24"/>
        </w:rPr>
      </w:pPr>
      <w:r w:rsidRPr="009E6D33">
        <w:rPr>
          <w:rFonts w:ascii="Times New Roman" w:hAnsi="Times New Roman" w:cs="Times New Roman"/>
          <w:sz w:val="24"/>
          <w:szCs w:val="24"/>
        </w:rPr>
        <w:t>SCOTT, R. B. Y. Os Profetas de Israel: nossos contemporâneos. Tradução de Joaquim Beato. São Paulo: ASTE, 1968.</w:t>
      </w:r>
    </w:p>
    <w:sectPr w:rsidR="0082196C" w:rsidRPr="009E6D33" w:rsidSect="0004582F"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F53" w:rsidRDefault="00177F53" w:rsidP="00707328">
      <w:pPr>
        <w:spacing w:after="0" w:line="240" w:lineRule="auto"/>
      </w:pPr>
      <w:r>
        <w:separator/>
      </w:r>
    </w:p>
  </w:endnote>
  <w:endnote w:type="continuationSeparator" w:id="0">
    <w:p w:rsidR="00177F53" w:rsidRDefault="00177F53" w:rsidP="0070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F53" w:rsidRDefault="00177F53" w:rsidP="00707328">
      <w:pPr>
        <w:spacing w:after="0" w:line="240" w:lineRule="auto"/>
      </w:pPr>
      <w:r>
        <w:separator/>
      </w:r>
    </w:p>
  </w:footnote>
  <w:footnote w:type="continuationSeparator" w:id="0">
    <w:p w:rsidR="00177F53" w:rsidRDefault="00177F53" w:rsidP="00707328">
      <w:pPr>
        <w:spacing w:after="0" w:line="240" w:lineRule="auto"/>
      </w:pPr>
      <w:r>
        <w:continuationSeparator/>
      </w:r>
    </w:p>
  </w:footnote>
  <w:footnote w:id="1">
    <w:p w:rsidR="00707328" w:rsidRDefault="00707328" w:rsidP="00BA0ACD">
      <w:pPr>
        <w:jc w:val="both"/>
      </w:pPr>
      <w:r w:rsidRPr="00F522C1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F522C1">
        <w:rPr>
          <w:rFonts w:ascii="Times New Roman" w:hAnsi="Times New Roman" w:cs="Times New Roman"/>
          <w:sz w:val="20"/>
          <w:szCs w:val="20"/>
        </w:rPr>
        <w:t xml:space="preserve"> Nesta mesma linha, Karl </w:t>
      </w:r>
      <w:proofErr w:type="spellStart"/>
      <w:r w:rsidRPr="00F522C1">
        <w:rPr>
          <w:rFonts w:ascii="Times New Roman" w:hAnsi="Times New Roman" w:cs="Times New Roman"/>
          <w:sz w:val="20"/>
          <w:szCs w:val="20"/>
        </w:rPr>
        <w:t>Jaspers</w:t>
      </w:r>
      <w:proofErr w:type="spellEnd"/>
      <w:r w:rsidRPr="00F522C1">
        <w:rPr>
          <w:rFonts w:ascii="Times New Roman" w:hAnsi="Times New Roman" w:cs="Times New Roman"/>
          <w:sz w:val="20"/>
          <w:szCs w:val="20"/>
        </w:rPr>
        <w:t xml:space="preserve"> considera o período entre os anos 800 e 200 a.C. que ele chama de </w:t>
      </w:r>
      <w:r w:rsidRPr="00F522C1">
        <w:rPr>
          <w:rFonts w:ascii="Times New Roman" w:hAnsi="Times New Roman" w:cs="Times New Roman"/>
          <w:i/>
          <w:sz w:val="20"/>
          <w:szCs w:val="20"/>
        </w:rPr>
        <w:t>período axial</w:t>
      </w:r>
      <w:r w:rsidRPr="00F522C1">
        <w:rPr>
          <w:rFonts w:ascii="Times New Roman" w:hAnsi="Times New Roman" w:cs="Times New Roman"/>
          <w:sz w:val="20"/>
          <w:szCs w:val="20"/>
        </w:rPr>
        <w:t xml:space="preserve"> como aquele “lançou os fundamentos que permitiram a humanidade subsistir até hoje” (JASPERS, 1951, 98). E podemos balizar este período exatamente entre a atividade dos profetas de Israel e a definição da filosofia grega.</w:t>
      </w:r>
    </w:p>
  </w:footnote>
  <w:footnote w:id="2">
    <w:p w:rsidR="00EC43D1" w:rsidRPr="00F522C1" w:rsidRDefault="00EC43D1" w:rsidP="00F522C1">
      <w:pPr>
        <w:jc w:val="both"/>
        <w:rPr>
          <w:rFonts w:ascii="Times New Roman" w:hAnsi="Times New Roman" w:cs="Times New Roman"/>
          <w:sz w:val="20"/>
          <w:szCs w:val="20"/>
        </w:rPr>
      </w:pPr>
      <w:r w:rsidRPr="00F522C1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F522C1">
        <w:rPr>
          <w:rFonts w:ascii="Times New Roman" w:hAnsi="Times New Roman" w:cs="Times New Roman"/>
          <w:sz w:val="20"/>
          <w:szCs w:val="20"/>
        </w:rPr>
        <w:t xml:space="preserve"> Weber fez decisiva diferenciação entre sacerdote e profeta e neste identifica o lugar original da dinâmica </w:t>
      </w:r>
      <w:proofErr w:type="spellStart"/>
      <w:r w:rsidRPr="00F522C1">
        <w:rPr>
          <w:rFonts w:ascii="Times New Roman" w:hAnsi="Times New Roman" w:cs="Times New Roman"/>
          <w:sz w:val="20"/>
          <w:szCs w:val="20"/>
        </w:rPr>
        <w:t>secularizante</w:t>
      </w:r>
      <w:proofErr w:type="spellEnd"/>
      <w:r w:rsidRPr="00F522C1">
        <w:rPr>
          <w:rFonts w:ascii="Times New Roman" w:hAnsi="Times New Roman" w:cs="Times New Roman"/>
          <w:sz w:val="20"/>
          <w:szCs w:val="20"/>
        </w:rPr>
        <w:t>. O sacerdote é porta-voz legitimado da salvação, a serviço de uma tradição sagrada; já o profeta atua exclusivamente pelos seus dons pessoais e carismáticos, com base em doutrinas, revelações e imperativos divinos.</w:t>
      </w:r>
    </w:p>
    <w:p w:rsidR="00EC43D1" w:rsidRDefault="00EC43D1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782"/>
    <w:rsid w:val="0004582F"/>
    <w:rsid w:val="0007635A"/>
    <w:rsid w:val="000A31B7"/>
    <w:rsid w:val="000F36C7"/>
    <w:rsid w:val="000F602E"/>
    <w:rsid w:val="00177F53"/>
    <w:rsid w:val="001D0647"/>
    <w:rsid w:val="002938FA"/>
    <w:rsid w:val="004D5DF5"/>
    <w:rsid w:val="004D6524"/>
    <w:rsid w:val="00694ACA"/>
    <w:rsid w:val="006E57AF"/>
    <w:rsid w:val="006E7627"/>
    <w:rsid w:val="00707328"/>
    <w:rsid w:val="007C1C97"/>
    <w:rsid w:val="007C5658"/>
    <w:rsid w:val="0082196C"/>
    <w:rsid w:val="00833782"/>
    <w:rsid w:val="009007EA"/>
    <w:rsid w:val="009873AD"/>
    <w:rsid w:val="009A16AE"/>
    <w:rsid w:val="009E6D33"/>
    <w:rsid w:val="00A37464"/>
    <w:rsid w:val="00AB5841"/>
    <w:rsid w:val="00AB70A7"/>
    <w:rsid w:val="00AE4ED1"/>
    <w:rsid w:val="00B65956"/>
    <w:rsid w:val="00BA0ACD"/>
    <w:rsid w:val="00CE499F"/>
    <w:rsid w:val="00D82C42"/>
    <w:rsid w:val="00E02C97"/>
    <w:rsid w:val="00E116C2"/>
    <w:rsid w:val="00EC43D1"/>
    <w:rsid w:val="00ED0975"/>
    <w:rsid w:val="00F41EF3"/>
    <w:rsid w:val="00F5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D07F5-3A16-4EEF-B61E-C117C16C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0732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0732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07328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B70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todista.br/revistas/revistasims/index.php/ER/article/view/4870/508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A3E44-5C07-4328-9BE7-FEB9E99C4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1180</Words>
  <Characters>6376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Lages</dc:creator>
  <cp:lastModifiedBy>Usuário do Windows</cp:lastModifiedBy>
  <cp:revision>18</cp:revision>
  <dcterms:created xsi:type="dcterms:W3CDTF">2017-05-21T11:45:00Z</dcterms:created>
  <dcterms:modified xsi:type="dcterms:W3CDTF">2019-05-22T13:01:00Z</dcterms:modified>
</cp:coreProperties>
</file>